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Финасово-экономическое обоснование </w:t>
      </w:r>
    </w:p>
    <w:p>
      <w:pPr>
        <w:spacing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размера целевого взноса </w:t>
      </w:r>
      <w:r>
        <w:rPr>
          <w:color w:val="000000"/>
          <w:sz w:val="28"/>
          <w:szCs w:val="28"/>
        </w:rPr>
        <w:t xml:space="preserve">на строительство новой электролинии </w:t>
      </w:r>
      <w:r>
        <w:rPr>
          <w:color w:val="000000"/>
          <w:sz w:val="28"/>
          <w:szCs w:val="28"/>
        </w:rPr>
      </w:r>
    </w:p>
    <w:p>
      <w:pPr>
        <w: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распределительного пункта (РП) до трансформаторной подстанции </w:t>
      </w:r>
    </w:p>
    <w:p>
      <w:pPr>
        <w: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№ 2 (ТП-2) СНТСН «Полярная усадьба» </w:t>
      </w: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Причины и цель строительства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новой электролинии от распределительного пункта (РП) до трансформаторной подстанции № 2 (ТП-2):</w:t>
      </w:r>
      <w:r>
        <w:rPr>
          <w:color w:val="000000"/>
          <w:sz w:val="28"/>
          <w:szCs w:val="28"/>
        </w:rPr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несоответствие сечения ранее проложенного электрического кабеля (50 кв.мм.) фактически потребляемой мощности (около 800-850 тыс кВт) и предполагаемой (1 мВт по договору с МРСК) нагрузке;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аварийное состояние кабеля, частые аварии;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необходимость изменения схемы подключения трансформаторной подстанции;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отсутствие землеотвода под кабельную линию, необходимых разрешений и согласований.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Стоимость подрядных работ и используемых материалов: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1 200 000 рублей.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Стоимость работ по проектированию: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40 000 рублей.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Стоимость геодезических работ: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10 000 рублей.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Стоимость услуг по отводу земельного участка, получения необходимых согласований и разрешений: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30 000 рублей.</w:t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Непредвиденные расходы: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80 000 рублей.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Общая стоимость 1 360 000 рублей.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(и перечень) земельных участков, обязанных к внесению целевого взноса:</w:t>
      </w:r>
      <w:r>
        <w:rPr>
          <w:b/>
          <w:bCs/>
          <w:color w:val="000000"/>
          <w:sz w:val="28"/>
          <w:szCs w:val="28"/>
        </w:rPr>
        <w:t xml:space="preserve"> 68</w:t>
      </w:r>
      <w:r>
        <w:rPr>
          <w:b/>
          <w:bCs/>
          <w:color w:val="000000"/>
          <w:sz w:val="28"/>
          <w:szCs w:val="28"/>
        </w:rPr>
      </w:r>
    </w:p>
    <w:p>
      <w:pPr>
        <w:ind w:firstLine="708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(Земельные участки №№ 6-16, 18-26, 35, 38, 39, 43, 45, 53, 54, 58, 62, 67-76, 78, 80-81, 83, 86, 87, 93, 96, 97, 99, 100, 102-105, 107-110, 112, 118, 120, 124, 125, 129, 132-134). </w:t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Размер целевого взнос</w:t>
      </w:r>
      <w:r>
        <w:rPr>
          <w:b/>
          <w:bCs/>
          <w:color w:val="000000"/>
          <w:sz w:val="28"/>
          <w:szCs w:val="28"/>
        </w:rPr>
        <w:t>а составит: 20 000 рублей (1 360 000 рублей : 68).</w:t>
      </w:r>
      <w:r>
        <w:rPr>
          <w:b/>
          <w:bCs/>
          <w:color w:val="000000"/>
          <w:sz w:val="28"/>
          <w:szCs w:val="28"/>
        </w:rPr>
      </w:r>
    </w:p>
    <w:p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образования остатка денежных средств предлагается направить их на оплату текущих платежей по электроэнергии, либо оборудование площадки под мусорные контейнеры и приобретение мусорных контейнеров.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8"/>
      <w:tmLastPosIdx w:val="72"/>
    </w:tmLastPosCaret>
    <w:tmLastPosAnchor>
      <w:tmLastPosPgfIdx w:val="0"/>
      <w:tmLastPosIdx w:val="0"/>
    </w:tmLastPosAnchor>
    <w:tmLastPosTblRect w:left="0" w:top="0" w:right="0" w:bottom="0"/>
  </w:tmLastPos>
  <w:tmAppRevision w:date="1556988304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cp:lastPrinted>2019-05-04T08:36:37Z</cp:lastPrinted>
  <dcterms:created xsi:type="dcterms:W3CDTF">2019-05-03T16:48:44Z</dcterms:created>
  <dcterms:modified xsi:type="dcterms:W3CDTF">2019-05-04T16:45:04Z</dcterms:modified>
</cp:coreProperties>
</file>